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28" w:rsidRPr="00772128" w:rsidRDefault="00772128" w:rsidP="00772128">
      <w:pPr>
        <w:autoSpaceDE w:val="0"/>
        <w:autoSpaceDN w:val="0"/>
        <w:adjustRightInd w:val="0"/>
        <w:ind w:firstLine="567"/>
        <w:contextualSpacing/>
        <w:jc w:val="center"/>
        <w:rPr>
          <w:rFonts w:eastAsiaTheme="minorEastAsia"/>
          <w:b/>
        </w:rPr>
      </w:pPr>
      <w:bookmarkStart w:id="0" w:name="_GoBack"/>
      <w:r w:rsidRPr="00772128">
        <w:rPr>
          <w:rFonts w:eastAsiaTheme="minorEastAsia"/>
          <w:b/>
        </w:rPr>
        <w:t>Пояснительная записка к плану внеурочной деятельности основного общего образования МОБУ «Ильинская ОШ» на 2022-2023 учебный год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Под внеурочной деятельностью следует понимать образовательную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деятельность, напра</w:t>
      </w:r>
      <w:r w:rsidRPr="00D53186">
        <w:rPr>
          <w:rFonts w:eastAsiaTheme="minorEastAsia"/>
        </w:rPr>
        <w:t>в</w:t>
      </w:r>
      <w:r w:rsidRPr="00D53186">
        <w:rPr>
          <w:rFonts w:eastAsiaTheme="minorEastAsia"/>
        </w:rPr>
        <w:t>ленную на достижение планируемых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результатов освоения основной образовательной программы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(личностных, метапредметных и предметных).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Внеурочная деятельность является неотъемлемой и обязательной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частью основной общео</w:t>
      </w:r>
      <w:r w:rsidRPr="00D53186">
        <w:rPr>
          <w:rFonts w:eastAsiaTheme="minorEastAsia"/>
        </w:rPr>
        <w:t>б</w:t>
      </w:r>
      <w:r w:rsidRPr="00D53186">
        <w:rPr>
          <w:rFonts w:eastAsiaTheme="minorEastAsia"/>
        </w:rPr>
        <w:t>разовательной программы.</w:t>
      </w:r>
    </w:p>
    <w:bookmarkEnd w:id="0"/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План внеурочной деятельности представляет собой описание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целостной системы функцион</w:t>
      </w:r>
      <w:r w:rsidRPr="00D53186">
        <w:rPr>
          <w:rFonts w:eastAsiaTheme="minorEastAsia"/>
        </w:rPr>
        <w:t>и</w:t>
      </w:r>
      <w:r w:rsidRPr="00D53186">
        <w:rPr>
          <w:rFonts w:eastAsiaTheme="minorEastAsia"/>
        </w:rPr>
        <w:t>рования образовательной организации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в сфере внеурочной деятельности и может включать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в себя: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-</w:t>
      </w:r>
      <w:r w:rsidRPr="00D53186">
        <w:rPr>
          <w:rFonts w:eastAsiaTheme="minorEastAsia"/>
        </w:rPr>
        <w:t xml:space="preserve"> внеурочную деятельность по учебным предметам образовательной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программы (учебные курсы, учебные модули по выбору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обучающихся, родителей (законных представителей)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несове</w:t>
      </w:r>
      <w:r w:rsidRPr="00D53186">
        <w:rPr>
          <w:rFonts w:eastAsiaTheme="minorEastAsia"/>
        </w:rPr>
        <w:t>р</w:t>
      </w:r>
      <w:r w:rsidRPr="00D53186">
        <w:rPr>
          <w:rFonts w:eastAsiaTheme="minorEastAsia"/>
        </w:rPr>
        <w:t>шеннолетних обучающихся, в том числе предусматривающие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углубленное изучение учебных предметов, с целью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удовлетворения различных интересов обучающихся, потребностей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в физическом развитии и совершенствовании,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а также учитывающие этнокультурные интересы, особые образ</w:t>
      </w:r>
      <w:r w:rsidRPr="00D53186">
        <w:rPr>
          <w:rFonts w:eastAsiaTheme="minorEastAsia"/>
        </w:rPr>
        <w:t>о</w:t>
      </w:r>
      <w:r w:rsidRPr="00D53186">
        <w:rPr>
          <w:rFonts w:eastAsiaTheme="minorEastAsia"/>
        </w:rPr>
        <w:t>вательные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потребности обучающихся с ОВЗ;</w:t>
      </w:r>
      <w:proofErr w:type="gramEnd"/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D53186">
        <w:rPr>
          <w:rFonts w:eastAsiaTheme="minorEastAsia"/>
        </w:rPr>
        <w:t xml:space="preserve">внеурочную деятельность по формированию функциональной грамотности (читательской, математической, </w:t>
      </w:r>
      <w:proofErr w:type="spellStart"/>
      <w:r w:rsidRPr="00D53186">
        <w:rPr>
          <w:rFonts w:eastAsiaTheme="minorEastAsia"/>
        </w:rPr>
        <w:t>естественно-научной</w:t>
      </w:r>
      <w:proofErr w:type="spellEnd"/>
      <w:r w:rsidRPr="00D53186">
        <w:rPr>
          <w:rFonts w:eastAsiaTheme="minorEastAsia"/>
        </w:rPr>
        <w:t xml:space="preserve">, финансовой) </w:t>
      </w:r>
      <w:proofErr w:type="gramStart"/>
      <w:r w:rsidRPr="00D53186">
        <w:rPr>
          <w:rFonts w:eastAsiaTheme="minorEastAsia"/>
        </w:rPr>
        <w:t>обучающихся</w:t>
      </w:r>
      <w:proofErr w:type="gramEnd"/>
      <w:r w:rsidRPr="00D53186">
        <w:rPr>
          <w:rFonts w:eastAsiaTheme="minorEastAsia"/>
        </w:rPr>
        <w:t xml:space="preserve"> (интегрированные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курсы, мет</w:t>
      </w:r>
      <w:r w:rsidRPr="00D53186">
        <w:rPr>
          <w:rFonts w:eastAsiaTheme="minorEastAsia"/>
        </w:rPr>
        <w:t>а</w:t>
      </w:r>
      <w:r w:rsidRPr="00D53186">
        <w:rPr>
          <w:rFonts w:eastAsiaTheme="minorEastAsia"/>
        </w:rPr>
        <w:t>предметные кружки, факультативы, научные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сообщества, в том числе направленные на реализацию проектной и исследовательской деятельности);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-</w:t>
      </w:r>
      <w:r w:rsidRPr="00D53186">
        <w:rPr>
          <w:rFonts w:eastAsiaTheme="minorEastAsia"/>
        </w:rPr>
        <w:t xml:space="preserve"> внеурочную деятельность по развитию личности, ее способностей, удовлетворения образ</w:t>
      </w:r>
      <w:r w:rsidRPr="00D53186">
        <w:rPr>
          <w:rFonts w:eastAsiaTheme="minorEastAsia"/>
        </w:rPr>
        <w:t>о</w:t>
      </w:r>
      <w:r w:rsidRPr="00D53186">
        <w:rPr>
          <w:rFonts w:eastAsiaTheme="minorEastAsia"/>
        </w:rPr>
        <w:t>вательных потребностей и интересов, самореализации обучающихся, в том числе одаренных, через организацию социальных практик (в том числе</w:t>
      </w:r>
      <w:r>
        <w:rPr>
          <w:rFonts w:eastAsiaTheme="minorEastAsia"/>
        </w:rPr>
        <w:t xml:space="preserve"> </w:t>
      </w:r>
      <w:proofErr w:type="spellStart"/>
      <w:r w:rsidRPr="00D53186">
        <w:rPr>
          <w:rFonts w:eastAsiaTheme="minorEastAsia"/>
        </w:rPr>
        <w:t>волонтёрство</w:t>
      </w:r>
      <w:proofErr w:type="spellEnd"/>
      <w:r w:rsidRPr="00D53186">
        <w:rPr>
          <w:rFonts w:eastAsiaTheme="minorEastAsia"/>
        </w:rPr>
        <w:t>), включая общественно полезную деятельность, профессиональные пробы, развитие глобальных компетенций, формирование пре</w:t>
      </w:r>
      <w:r w:rsidRPr="00D53186">
        <w:rPr>
          <w:rFonts w:eastAsiaTheme="minorEastAsia"/>
        </w:rPr>
        <w:t>д</w:t>
      </w:r>
      <w:r w:rsidRPr="00D53186">
        <w:rPr>
          <w:rFonts w:eastAsiaTheme="minorEastAsia"/>
        </w:rPr>
        <w:t>принимательских навыков,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в профессионально-производственном окружении;</w:t>
      </w:r>
      <w:proofErr w:type="gramEnd"/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Pr="00D53186">
        <w:rPr>
          <w:rFonts w:eastAsiaTheme="minorEastAsia"/>
        </w:rPr>
        <w:t xml:space="preserve"> внеурочную деятельность, направленную на реализацию комплекса воспитательных мер</w:t>
      </w:r>
      <w:r w:rsidRPr="00D53186">
        <w:rPr>
          <w:rFonts w:eastAsiaTheme="minorEastAsia"/>
        </w:rPr>
        <w:t>о</w:t>
      </w:r>
      <w:r w:rsidRPr="00D53186">
        <w:rPr>
          <w:rFonts w:eastAsiaTheme="minorEastAsia"/>
        </w:rPr>
        <w:t>приятий на уровне образовательной организации, класса, занятия, в том числе в творческих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объ</w:t>
      </w:r>
      <w:r w:rsidRPr="00D53186">
        <w:rPr>
          <w:rFonts w:eastAsiaTheme="minorEastAsia"/>
        </w:rPr>
        <w:t>е</w:t>
      </w:r>
      <w:r w:rsidRPr="00D53186">
        <w:rPr>
          <w:rFonts w:eastAsiaTheme="minorEastAsia"/>
        </w:rPr>
        <w:t>динениях по интересам, культурные и социальные практики с учетом историко-культурной и этн</w:t>
      </w:r>
      <w:r w:rsidRPr="00D53186">
        <w:rPr>
          <w:rFonts w:eastAsiaTheme="minorEastAsia"/>
        </w:rPr>
        <w:t>и</w:t>
      </w:r>
      <w:r w:rsidRPr="00D53186">
        <w:rPr>
          <w:rFonts w:eastAsiaTheme="minorEastAsia"/>
        </w:rPr>
        <w:t>ческой специфики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региона, потребностей обучающихся, родителей (законных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представителей) н</w:t>
      </w:r>
      <w:r w:rsidRPr="00D53186">
        <w:rPr>
          <w:rFonts w:eastAsiaTheme="minorEastAsia"/>
        </w:rPr>
        <w:t>е</w:t>
      </w:r>
      <w:r w:rsidRPr="00D53186">
        <w:rPr>
          <w:rFonts w:eastAsiaTheme="minorEastAsia"/>
        </w:rPr>
        <w:t>совершеннолетних обучающихся;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Pr="00D53186">
        <w:rPr>
          <w:rFonts w:eastAsiaTheme="minorEastAsia"/>
        </w:rPr>
        <w:t xml:space="preserve"> внеурочную деятельность по организации деятельности ученических сообществ (подрос</w:t>
      </w:r>
      <w:r w:rsidRPr="00D53186">
        <w:rPr>
          <w:rFonts w:eastAsiaTheme="minorEastAsia"/>
        </w:rPr>
        <w:t>т</w:t>
      </w:r>
      <w:r w:rsidRPr="00D53186">
        <w:rPr>
          <w:rFonts w:eastAsiaTheme="minorEastAsia"/>
        </w:rPr>
        <w:t>ковых коллективов), в том числе ученических классов, разновозрастных объединений по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интересам, клубов; детских, подростковых и юношеских общественных объединений, организаций и т. д.;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Pr="00D53186">
        <w:rPr>
          <w:rFonts w:eastAsiaTheme="minorEastAsia"/>
        </w:rPr>
        <w:t xml:space="preserve"> внеурочную деятельность, направленную на организационное обеспечение учебной де</w:t>
      </w:r>
      <w:r w:rsidRPr="00D53186">
        <w:rPr>
          <w:rFonts w:eastAsiaTheme="minorEastAsia"/>
        </w:rPr>
        <w:t>я</w:t>
      </w:r>
      <w:r w:rsidRPr="00D53186">
        <w:rPr>
          <w:rFonts w:eastAsiaTheme="minorEastAsia"/>
        </w:rPr>
        <w:t>тельности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Pr="00D53186">
        <w:rPr>
          <w:rFonts w:eastAsiaTheme="minorEastAsia"/>
        </w:rPr>
        <w:t xml:space="preserve"> внеурочную деятельность, направленную на организацию педагогической поддержки об</w:t>
      </w:r>
      <w:r w:rsidRPr="00D53186">
        <w:rPr>
          <w:rFonts w:eastAsiaTheme="minorEastAsia"/>
        </w:rPr>
        <w:t>у</w:t>
      </w:r>
      <w:r w:rsidRPr="00D53186">
        <w:rPr>
          <w:rFonts w:eastAsiaTheme="minorEastAsia"/>
        </w:rPr>
        <w:t xml:space="preserve">чающихся (проектирование индивидуальных образовательных маршрутов, работа </w:t>
      </w:r>
      <w:proofErr w:type="spellStart"/>
      <w:r w:rsidRPr="00D53186">
        <w:rPr>
          <w:rFonts w:eastAsiaTheme="minorEastAsia"/>
        </w:rPr>
        <w:t>тьюторов</w:t>
      </w:r>
      <w:proofErr w:type="spellEnd"/>
      <w:r w:rsidRPr="00D53186">
        <w:rPr>
          <w:rFonts w:eastAsiaTheme="minorEastAsia"/>
        </w:rPr>
        <w:t>, пед</w:t>
      </w:r>
      <w:r w:rsidRPr="00D53186">
        <w:rPr>
          <w:rFonts w:eastAsiaTheme="minorEastAsia"/>
        </w:rPr>
        <w:t>а</w:t>
      </w:r>
      <w:r w:rsidRPr="00D53186">
        <w:rPr>
          <w:rFonts w:eastAsiaTheme="minorEastAsia"/>
        </w:rPr>
        <w:t>гогов-психологов);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Pr="00D53186">
        <w:rPr>
          <w:rFonts w:eastAsiaTheme="minorEastAsia"/>
        </w:rPr>
        <w:t xml:space="preserve"> внеурочную деятельность, направленную на обеспечение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благополучия обучающихся в пространстве общеобразовательной школы (безопасности жизни и здоровья школьников, безопа</w:t>
      </w:r>
      <w:r w:rsidRPr="00D53186">
        <w:rPr>
          <w:rFonts w:eastAsiaTheme="minorEastAsia"/>
        </w:rPr>
        <w:t>с</w:t>
      </w:r>
      <w:r w:rsidRPr="00D53186">
        <w:rPr>
          <w:rFonts w:eastAsiaTheme="minorEastAsia"/>
        </w:rPr>
        <w:t>ных межличностных отношений в учебных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группах, профилактики неуспеваемости, профилактики различных рисков, возникающих в процессе взаимодействия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школьника с окружающей средой, социальной защиты учащихся).</w:t>
      </w:r>
    </w:p>
    <w:p w:rsidR="00772128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lastRenderedPageBreak/>
        <w:t>Для достижения целей и задач внеурочной деятельности используется все многообразие до</w:t>
      </w:r>
      <w:r w:rsidRPr="00D53186">
        <w:rPr>
          <w:rFonts w:eastAsiaTheme="minorEastAsia"/>
        </w:rPr>
        <w:t>с</w:t>
      </w:r>
      <w:r w:rsidRPr="00D53186">
        <w:rPr>
          <w:rFonts w:eastAsiaTheme="minorEastAsia"/>
        </w:rPr>
        <w:t>тупных объектов отечественной культуры, в том числе наследие отечественного кинематографа.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Наследие отечественного кинематографа может использоваться как в качестве дидактического материала при реализации курсов внеурочной деятельности, так и быть основной для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разработки курсов внеурочной деятельности, посвященной этому виду отечественного искусства.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Содержание плана внеурочной деятельности. Количество часов, выделяемых на внеурочную деятельность</w:t>
      </w:r>
      <w:r>
        <w:rPr>
          <w:rFonts w:eastAsiaTheme="minorEastAsia"/>
        </w:rPr>
        <w:t xml:space="preserve"> на уровне основного общего образования</w:t>
      </w:r>
      <w:r w:rsidRPr="00D53186">
        <w:rPr>
          <w:rFonts w:eastAsiaTheme="minorEastAsia"/>
        </w:rPr>
        <w:t>, составляет за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5 лет обучения на этапе о</w:t>
      </w:r>
      <w:r w:rsidRPr="00D53186">
        <w:rPr>
          <w:rFonts w:eastAsiaTheme="minorEastAsia"/>
        </w:rPr>
        <w:t>с</w:t>
      </w:r>
      <w:r w:rsidRPr="00D53186">
        <w:rPr>
          <w:rFonts w:eastAsiaTheme="minorEastAsia"/>
        </w:rPr>
        <w:t>новной школы не более 1750 часов,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в год — не более 350 часов.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Величина недельной образовательной нагрузки (количество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занятий), реализуемой через вн</w:t>
      </w:r>
      <w:r w:rsidRPr="00D53186">
        <w:rPr>
          <w:rFonts w:eastAsiaTheme="minorEastAsia"/>
        </w:rPr>
        <w:t>е</w:t>
      </w:r>
      <w:r w:rsidRPr="00D53186">
        <w:rPr>
          <w:rFonts w:eastAsiaTheme="minorEastAsia"/>
        </w:rPr>
        <w:t>урочную деятельность, определяется за пределами количества часов, отведенных на освоение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об</w:t>
      </w:r>
      <w:r w:rsidRPr="00D53186">
        <w:rPr>
          <w:rFonts w:eastAsiaTheme="minorEastAsia"/>
        </w:rPr>
        <w:t>у</w:t>
      </w:r>
      <w:r w:rsidRPr="00D53186">
        <w:rPr>
          <w:rFonts w:eastAsiaTheme="minorEastAsia"/>
        </w:rPr>
        <w:t>чающимися учебного плана, но не более 10 часов. Для недопущения перегрузки обучающихся д</w:t>
      </w:r>
      <w:r w:rsidRPr="00D53186">
        <w:rPr>
          <w:rFonts w:eastAsiaTheme="minorEastAsia"/>
        </w:rPr>
        <w:t>о</w:t>
      </w:r>
      <w:r w:rsidRPr="00D53186">
        <w:rPr>
          <w:rFonts w:eastAsiaTheme="minorEastAsia"/>
        </w:rPr>
        <w:t>пускается перенос образовательной нагрузки, реализуемой через внеурочную деятельность, на п</w:t>
      </w:r>
      <w:r w:rsidRPr="00D53186">
        <w:rPr>
          <w:rFonts w:eastAsiaTheme="minorEastAsia"/>
        </w:rPr>
        <w:t>е</w:t>
      </w:r>
      <w:r w:rsidRPr="00D53186">
        <w:rPr>
          <w:rFonts w:eastAsiaTheme="minorEastAsia"/>
        </w:rPr>
        <w:t>риоды каникул, но не более 1/2 количества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часов. Внеурочная деятельность в каникулярное время может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реализовываться в рамках тематических программ (лагерь с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При этом расходы времени на отдельные направления плана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внеурочной деятельности могут отличаться</w:t>
      </w:r>
      <w:r>
        <w:rPr>
          <w:rFonts w:eastAsiaTheme="minorEastAsia"/>
        </w:rPr>
        <w:t>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Общий объем внеурочной деятельности не должен превышать 10 часов в неделю.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772128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Так, например, в 5 классе для обеспечения адаптации обучающихся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к изменившейся образовательной ситуации может быть в</w:t>
      </w:r>
      <w:r w:rsidRPr="00D53186">
        <w:rPr>
          <w:rFonts w:eastAsiaTheme="minorEastAsia"/>
        </w:rPr>
        <w:t>ы</w:t>
      </w:r>
      <w:r w:rsidRPr="00D53186">
        <w:rPr>
          <w:rFonts w:eastAsiaTheme="minorEastAsia"/>
        </w:rPr>
        <w:t>делено больше часов, чем в 6 или 7 классе, либо в 8 классе —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 xml:space="preserve">в связи с организацией </w:t>
      </w:r>
      <w:proofErr w:type="spellStart"/>
      <w:r w:rsidRPr="00D53186">
        <w:rPr>
          <w:rFonts w:eastAsiaTheme="minorEastAsia"/>
        </w:rPr>
        <w:t>предпр</w:t>
      </w:r>
      <w:r w:rsidRPr="00D53186">
        <w:rPr>
          <w:rFonts w:eastAsiaTheme="minorEastAsia"/>
        </w:rPr>
        <w:t>о</w:t>
      </w:r>
      <w:r w:rsidRPr="00D53186">
        <w:rPr>
          <w:rFonts w:eastAsiaTheme="minorEastAsia"/>
        </w:rPr>
        <w:t>фильной</w:t>
      </w:r>
      <w:proofErr w:type="spellEnd"/>
      <w:r w:rsidRPr="00D53186">
        <w:rPr>
          <w:rFonts w:eastAsiaTheme="minorEastAsia"/>
        </w:rPr>
        <w:t xml:space="preserve"> подготовки и т. д.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Выделение часов на внеурочную деятельность может различаться в связи необходимостью преодоления противоречий и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разрешения проблем, возникающих в том или ином ученическом коллективе.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Формы реализации внеурочной деятельности образовательная организация определяет сам</w:t>
      </w:r>
      <w:r w:rsidRPr="00D53186">
        <w:rPr>
          <w:rFonts w:eastAsiaTheme="minorEastAsia"/>
        </w:rPr>
        <w:t>о</w:t>
      </w:r>
      <w:r w:rsidRPr="00D53186">
        <w:rPr>
          <w:rFonts w:eastAsiaTheme="minorEastAsia"/>
        </w:rPr>
        <w:t>стоятельно.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Формы внеурочной деятельности должны предусматривать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активность и самостоятельность обучающихся, сочетать индивидуальную и групповую работу; обеспечивать гибкий режим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занятий (продолжительность, последовательность), переменный состав обучающихся, проектную и иссл</w:t>
      </w:r>
      <w:r w:rsidRPr="00D53186">
        <w:rPr>
          <w:rFonts w:eastAsiaTheme="minorEastAsia"/>
        </w:rPr>
        <w:t>е</w:t>
      </w:r>
      <w:r w:rsidRPr="00D53186">
        <w:rPr>
          <w:rFonts w:eastAsiaTheme="minorEastAsia"/>
        </w:rPr>
        <w:t>довательскую деятельность (в том числе экспедиции, практики), экскурсии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(в музеи, парки, на предприятия и др.), походы, деловые игры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и пр.</w:t>
      </w:r>
    </w:p>
    <w:p w:rsidR="00772128" w:rsidRPr="00D53186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</w:rPr>
      </w:pPr>
      <w:r w:rsidRPr="00D53186">
        <w:rPr>
          <w:rFonts w:eastAsiaTheme="minorEastAsia"/>
        </w:rPr>
        <w:t>В зависимости от конкретных условий реализации основной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общеобразовательной программы, числа обучающихся и их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возрастных особенностей допускается формирование учебных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групп из обучающихся разных классов в пределах одного уровня образования.</w:t>
      </w:r>
    </w:p>
    <w:p w:rsidR="00772128" w:rsidRPr="00F17F57" w:rsidRDefault="00772128" w:rsidP="00772128">
      <w:pPr>
        <w:autoSpaceDE w:val="0"/>
        <w:autoSpaceDN w:val="0"/>
        <w:adjustRightInd w:val="0"/>
        <w:ind w:firstLine="567"/>
        <w:contextualSpacing/>
        <w:jc w:val="both"/>
        <w:rPr>
          <w:rFonts w:ascii="SchoolBookSanPin" w:eastAsiaTheme="minorEastAsia" w:hAnsi="SchoolBookSanPin" w:cs="SchoolBookSanPin"/>
          <w:sz w:val="20"/>
          <w:szCs w:val="20"/>
        </w:rPr>
      </w:pPr>
      <w:r w:rsidRPr="00D53186">
        <w:rPr>
          <w:rFonts w:eastAsiaTheme="minorEastAsia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профессиональные образовательные орган</w:t>
      </w:r>
      <w:r w:rsidRPr="00D53186">
        <w:rPr>
          <w:rFonts w:eastAsiaTheme="minorEastAsia"/>
        </w:rPr>
        <w:t>и</w:t>
      </w:r>
      <w:r w:rsidRPr="00D53186">
        <w:rPr>
          <w:rFonts w:eastAsiaTheme="minorEastAsia"/>
        </w:rPr>
        <w:t>зации, образовательные организации высшего образования, научные организации, организации культуры, физкультурно-спортивные и иные</w:t>
      </w:r>
      <w:r>
        <w:rPr>
          <w:rFonts w:eastAsiaTheme="minorEastAsia"/>
        </w:rPr>
        <w:t xml:space="preserve"> </w:t>
      </w:r>
      <w:r w:rsidRPr="00D53186">
        <w:rPr>
          <w:rFonts w:eastAsiaTheme="minorEastAsia"/>
        </w:rPr>
        <w:t>организации, обладающие необходимыми ресурсами</w:t>
      </w:r>
      <w:r>
        <w:rPr>
          <w:rFonts w:ascii="SchoolBookSanPin" w:eastAsiaTheme="minorEastAsia" w:hAnsi="SchoolBookSanPin" w:cs="SchoolBookSanPin"/>
          <w:sz w:val="20"/>
          <w:szCs w:val="20"/>
        </w:rPr>
        <w:t>.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</w:t>
      </w:r>
      <w:r>
        <w:t xml:space="preserve">в МОБУ </w:t>
      </w:r>
      <w:r>
        <w:lastRenderedPageBreak/>
        <w:t xml:space="preserve">«Ильинская ОШ» </w:t>
      </w:r>
      <w:r w:rsidRPr="001A24DA">
        <w:t xml:space="preserve">используются через реализацию модели плана с преобладанием </w:t>
      </w:r>
      <w:r w:rsidRPr="001A24DA">
        <w:rPr>
          <w:i/>
          <w:iCs/>
        </w:rPr>
        <w:t>учебно-познавательной деятельности</w:t>
      </w:r>
      <w:r w:rsidRPr="001A24DA">
        <w:t>, когда наибол</w:t>
      </w:r>
      <w:r w:rsidRPr="001A24DA">
        <w:t>ь</w:t>
      </w:r>
      <w:r w:rsidRPr="001A24DA">
        <w:t>шее внимание уделяется внеурочной деятельности по учебным предметам и формированию фун</w:t>
      </w:r>
      <w:r w:rsidRPr="001A24DA">
        <w:t>к</w:t>
      </w:r>
      <w:r w:rsidRPr="001A24DA">
        <w:t>циональной грамотности. Такая работа включает: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- занятия обучающихся по углубленному изучению отдельных учебных предметов;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- занятия </w:t>
      </w:r>
      <w:proofErr w:type="gramStart"/>
      <w:r w:rsidRPr="001A24DA">
        <w:t>обучающихся</w:t>
      </w:r>
      <w:proofErr w:type="gramEnd"/>
      <w:r w:rsidRPr="001A24DA">
        <w:t xml:space="preserve"> по формированию функциональной грамотности;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- занятия </w:t>
      </w:r>
      <w:proofErr w:type="gramStart"/>
      <w:r w:rsidRPr="001A24DA">
        <w:t>обучающихся</w:t>
      </w:r>
      <w:proofErr w:type="gramEnd"/>
      <w:r w:rsidRPr="001A24DA">
        <w:t xml:space="preserve"> с педагогами, сопровождающими проектно-исследовательскую де</w:t>
      </w:r>
      <w:r w:rsidRPr="001A24DA">
        <w:t>я</w:t>
      </w:r>
      <w:r w:rsidRPr="001A24DA">
        <w:t xml:space="preserve">тельность;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- профориентационные занятия </w:t>
      </w:r>
      <w:proofErr w:type="gramStart"/>
      <w:r w:rsidRPr="001A24DA">
        <w:t>обучающихся</w:t>
      </w:r>
      <w:proofErr w:type="gramEnd"/>
      <w:r w:rsidRPr="001A24DA">
        <w:t xml:space="preserve">;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proofErr w:type="gramStart"/>
      <w:r w:rsidRPr="001A24DA"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МОБУ «Ильинская ОШ» учтены </w:t>
      </w:r>
      <w:r w:rsidRPr="001A24DA">
        <w:rPr>
          <w:rStyle w:val="markedcontent"/>
        </w:rPr>
        <w:t>методические рекомендации по организации</w:t>
      </w:r>
      <w:r>
        <w:t xml:space="preserve"> </w:t>
      </w:r>
      <w:r w:rsidRPr="001A24DA">
        <w:rPr>
          <w:rStyle w:val="markedcontent"/>
        </w:rPr>
        <w:t>внеурочной деятельности в рамках реализации обновленных федеральных</w:t>
      </w:r>
      <w:r w:rsidRPr="001A24DA">
        <w:t xml:space="preserve"> </w:t>
      </w:r>
      <w:r w:rsidRPr="001A24DA">
        <w:rPr>
          <w:rStyle w:val="markedcontent"/>
        </w:rPr>
        <w:t>государственных образовательных стандартов н</w:t>
      </w:r>
      <w:r w:rsidRPr="001A24DA">
        <w:rPr>
          <w:rStyle w:val="markedcontent"/>
        </w:rPr>
        <w:t>а</w:t>
      </w:r>
      <w:r w:rsidRPr="001A24DA">
        <w:rPr>
          <w:rStyle w:val="markedcontent"/>
        </w:rPr>
        <w:t>чального общего</w:t>
      </w:r>
      <w:r>
        <w:t xml:space="preserve"> </w:t>
      </w:r>
      <w:r w:rsidRPr="001A24DA">
        <w:rPr>
          <w:rStyle w:val="markedcontent"/>
        </w:rPr>
        <w:t xml:space="preserve">и основного общего образования, утвержденных приказами </w:t>
      </w:r>
      <w:proofErr w:type="spellStart"/>
      <w:r w:rsidRPr="001A24DA">
        <w:rPr>
          <w:rStyle w:val="markedcontent"/>
        </w:rPr>
        <w:t>Минпросвещения</w:t>
      </w:r>
      <w:proofErr w:type="spellEnd"/>
      <w:r w:rsidRPr="001A24DA">
        <w:t xml:space="preserve"> </w:t>
      </w:r>
      <w:r w:rsidRPr="001A24DA">
        <w:rPr>
          <w:rStyle w:val="markedcontent"/>
        </w:rPr>
        <w:t>России от 31 мая 2021 г.</w:t>
      </w:r>
      <w:r>
        <w:rPr>
          <w:rStyle w:val="markedcontent"/>
        </w:rPr>
        <w:t>№</w:t>
      </w:r>
      <w:r w:rsidRPr="001A24DA">
        <w:rPr>
          <w:rStyle w:val="markedcontent"/>
        </w:rPr>
        <w:t>286 «Об утверждении федерального государственного</w:t>
      </w:r>
      <w:r w:rsidRPr="001A24DA">
        <w:t xml:space="preserve"> </w:t>
      </w:r>
      <w:r w:rsidRPr="001A24DA">
        <w:rPr>
          <w:rStyle w:val="markedcontent"/>
        </w:rPr>
        <w:t>образовательного стандарта начального общего</w:t>
      </w:r>
      <w:proofErr w:type="gramEnd"/>
      <w:r w:rsidRPr="001A24DA">
        <w:rPr>
          <w:rStyle w:val="markedcontent"/>
        </w:rPr>
        <w:t xml:space="preserve"> образования» и </w:t>
      </w:r>
      <w:r>
        <w:rPr>
          <w:rStyle w:val="markedcontent"/>
        </w:rPr>
        <w:t>№</w:t>
      </w:r>
      <w:r w:rsidRPr="001A24DA">
        <w:rPr>
          <w:rStyle w:val="markedcontent"/>
        </w:rPr>
        <w:t>287</w:t>
      </w:r>
      <w:r w:rsidRPr="001A24DA">
        <w:t xml:space="preserve"> </w:t>
      </w:r>
      <w:r w:rsidRPr="001A24DA">
        <w:rPr>
          <w:rStyle w:val="markedcontent"/>
        </w:rPr>
        <w:t>«Об утверждении федерального государстве</w:t>
      </w:r>
      <w:r w:rsidRPr="001A24DA">
        <w:rPr>
          <w:rStyle w:val="markedcontent"/>
        </w:rPr>
        <w:t>н</w:t>
      </w:r>
      <w:r w:rsidRPr="001A24DA">
        <w:rPr>
          <w:rStyle w:val="markedcontent"/>
        </w:rPr>
        <w:t>ного образовательного стандарта</w:t>
      </w:r>
      <w:r w:rsidRPr="001A24DA">
        <w:t xml:space="preserve"> </w:t>
      </w:r>
      <w:r w:rsidRPr="001A24DA">
        <w:rPr>
          <w:rStyle w:val="markedcontent"/>
        </w:rPr>
        <w:t xml:space="preserve">основного общего образования» (письмо </w:t>
      </w:r>
      <w:proofErr w:type="spellStart"/>
      <w:r w:rsidRPr="001A24DA">
        <w:rPr>
          <w:rStyle w:val="markedcontent"/>
        </w:rPr>
        <w:t>Минпросвещения</w:t>
      </w:r>
      <w:proofErr w:type="spellEnd"/>
      <w:r w:rsidRPr="001A24DA">
        <w:rPr>
          <w:rStyle w:val="markedcontent"/>
        </w:rPr>
        <w:t xml:space="preserve"> №ТВ-1290/03 от 05.07.2022г.).</w:t>
      </w:r>
      <w:r w:rsidRPr="001A24DA">
        <w:t xml:space="preserve">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>Согласно данным мет</w:t>
      </w:r>
      <w:r>
        <w:t>о</w:t>
      </w:r>
      <w:r w:rsidRPr="001A24DA">
        <w:t>дическим рекомендациям, часы внеурочной деятельности распределены следующим образом: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A24DA">
        <w:t>важном</w:t>
      </w:r>
      <w:proofErr w:type="gramEnd"/>
      <w:r w:rsidRPr="001A24DA">
        <w:t xml:space="preserve">»;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1 час в неделю – на занятия по формированию функциональной грамотности </w:t>
      </w:r>
      <w:proofErr w:type="gramStart"/>
      <w:r w:rsidRPr="001A24DA">
        <w:t>обучающихся</w:t>
      </w:r>
      <w:proofErr w:type="gramEnd"/>
      <w:r w:rsidRPr="001A24DA">
        <w:t xml:space="preserve"> (в том числе финансовой грамотности);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1 час в неделю – на занятия, направленные на удовлетворение профориентационных интересов и потребностей обучающихся (в том числе основы предпринимательства).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3 часа в неделю – на занятия, связанные с реализацией особых интеллектуальных и </w:t>
      </w:r>
      <w:proofErr w:type="spellStart"/>
      <w:r w:rsidRPr="001A24DA">
        <w:t>соци</w:t>
      </w:r>
      <w:r w:rsidRPr="001A24DA">
        <w:t>о</w:t>
      </w:r>
      <w:r w:rsidRPr="001A24DA">
        <w:t>культурных</w:t>
      </w:r>
      <w:proofErr w:type="spellEnd"/>
      <w:r w:rsidRPr="001A24DA"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</w:t>
      </w:r>
      <w:r w:rsidRPr="001A24DA">
        <w:t>е</w:t>
      </w:r>
      <w:r w:rsidRPr="001A24DA">
        <w:t xml:space="preserve">ского просвещения);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 xml:space="preserve">2 часа в неделю – на занятия, направленные на удовлетворение интересов и </w:t>
      </w:r>
      <w:proofErr w:type="gramStart"/>
      <w:r w:rsidRPr="001A24DA">
        <w:t>потребностей</w:t>
      </w:r>
      <w:proofErr w:type="gramEnd"/>
      <w:r w:rsidRPr="001A24DA"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 </w:t>
      </w:r>
    </w:p>
    <w:p w:rsidR="00772128" w:rsidRPr="001A24DA" w:rsidRDefault="00772128" w:rsidP="00772128">
      <w:pPr>
        <w:pStyle w:val="Default"/>
        <w:ind w:firstLine="567"/>
        <w:contextualSpacing/>
        <w:jc w:val="both"/>
      </w:pPr>
      <w:r w:rsidRPr="001A24DA">
        <w:t>2 часа в неделю – на занятия, направленные на удовлетворение социальных интересов и п</w:t>
      </w:r>
      <w:r w:rsidRPr="001A24DA">
        <w:t>о</w:t>
      </w:r>
      <w:r w:rsidRPr="001A24DA">
        <w:t xml:space="preserve">требностей обучающихся (в том числе в рамках Российского движения школьников, </w:t>
      </w:r>
      <w:proofErr w:type="spellStart"/>
      <w:r w:rsidRPr="001A24DA">
        <w:t>Юнармии</w:t>
      </w:r>
      <w:proofErr w:type="spellEnd"/>
      <w:r w:rsidRPr="001A24DA">
        <w:t xml:space="preserve">, реализации проекта «Россия – страна возможностей»). </w:t>
      </w:r>
    </w:p>
    <w:p w:rsidR="00772128" w:rsidRDefault="00772128">
      <w:pPr>
        <w:sectPr w:rsidR="00772128" w:rsidSect="005E4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128" w:rsidRPr="00772128" w:rsidRDefault="00772128" w:rsidP="00772128">
      <w:pPr>
        <w:pStyle w:val="Default"/>
        <w:ind w:firstLine="567"/>
        <w:contextualSpacing/>
        <w:jc w:val="center"/>
        <w:rPr>
          <w:b/>
        </w:rPr>
      </w:pPr>
      <w:r w:rsidRPr="00772128">
        <w:rPr>
          <w:b/>
        </w:rPr>
        <w:lastRenderedPageBreak/>
        <w:t>План внеурочной деятельности МОБУ «Ильинская ОШ»</w:t>
      </w:r>
    </w:p>
    <w:p w:rsidR="00772128" w:rsidRPr="000A01B2" w:rsidRDefault="00772128" w:rsidP="00772128">
      <w:pPr>
        <w:pStyle w:val="Default"/>
        <w:ind w:firstLine="567"/>
        <w:contextualSpacing/>
        <w:jc w:val="center"/>
        <w:rPr>
          <w:b/>
        </w:rPr>
      </w:pPr>
      <w:r w:rsidRPr="00772128">
        <w:rPr>
          <w:b/>
        </w:rPr>
        <w:t>2022-2023 учебный год (основное общее образование)</w:t>
      </w:r>
    </w:p>
    <w:tbl>
      <w:tblPr>
        <w:tblStyle w:val="a3"/>
        <w:tblW w:w="15501" w:type="dxa"/>
        <w:tblLayout w:type="fixed"/>
        <w:tblLook w:val="0000"/>
      </w:tblPr>
      <w:tblGrid>
        <w:gridCol w:w="5211"/>
        <w:gridCol w:w="1134"/>
        <w:gridCol w:w="993"/>
        <w:gridCol w:w="2409"/>
        <w:gridCol w:w="3969"/>
        <w:gridCol w:w="1785"/>
      </w:tblGrid>
      <w:tr w:rsidR="00772128" w:rsidRPr="00797B48" w:rsidTr="00772128">
        <w:trPr>
          <w:trHeight w:val="384"/>
        </w:trPr>
        <w:tc>
          <w:tcPr>
            <w:tcW w:w="5211" w:type="dxa"/>
            <w:shd w:val="clear" w:color="auto" w:fill="EEECE1" w:themeFill="background2"/>
            <w:vAlign w:val="center"/>
          </w:tcPr>
          <w:p w:rsidR="00772128" w:rsidRPr="00B03878" w:rsidRDefault="00772128" w:rsidP="00403E80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Тематика внеурочной деятельности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72128" w:rsidRPr="00B03878" w:rsidRDefault="00772128" w:rsidP="00403E80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класс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72128" w:rsidRPr="00B03878" w:rsidRDefault="00772128" w:rsidP="00403E80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часов в неделю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772128" w:rsidRPr="00B03878" w:rsidRDefault="00772128" w:rsidP="00403E80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Название курсов внеурочной деятельности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772128" w:rsidRPr="00B03878" w:rsidRDefault="00772128" w:rsidP="00403E80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Форма организации занятий</w:t>
            </w:r>
          </w:p>
        </w:tc>
        <w:tc>
          <w:tcPr>
            <w:tcW w:w="1785" w:type="dxa"/>
            <w:shd w:val="clear" w:color="auto" w:fill="EEECE1" w:themeFill="background2"/>
            <w:vAlign w:val="center"/>
          </w:tcPr>
          <w:p w:rsidR="00772128" w:rsidRPr="00B03878" w:rsidRDefault="00772128" w:rsidP="00403E80">
            <w:pPr>
              <w:pStyle w:val="Default"/>
              <w:contextualSpacing/>
              <w:jc w:val="center"/>
              <w:rPr>
                <w:b/>
                <w:sz w:val="20"/>
              </w:rPr>
            </w:pPr>
            <w:r w:rsidRPr="00B03878">
              <w:rPr>
                <w:b/>
                <w:sz w:val="20"/>
              </w:rPr>
              <w:t>ответственный</w:t>
            </w:r>
          </w:p>
        </w:tc>
      </w:tr>
      <w:tr w:rsidR="00772128" w:rsidRPr="001A24DA" w:rsidTr="00772128">
        <w:trPr>
          <w:trHeight w:val="135"/>
        </w:trPr>
        <w:tc>
          <w:tcPr>
            <w:tcW w:w="5211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797B48">
              <w:rPr>
                <w:sz w:val="22"/>
                <w:szCs w:val="22"/>
              </w:rPr>
              <w:t>важном</w:t>
            </w:r>
            <w:proofErr w:type="gramEnd"/>
            <w:r w:rsidRPr="00797B4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77212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«Разговоры о </w:t>
            </w:r>
            <w:proofErr w:type="gramStart"/>
            <w:r w:rsidRPr="00797B48">
              <w:rPr>
                <w:sz w:val="22"/>
                <w:szCs w:val="22"/>
              </w:rPr>
              <w:t>важном</w:t>
            </w:r>
            <w:proofErr w:type="gramEnd"/>
            <w:r w:rsidRPr="00797B4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информационн</w:t>
            </w:r>
            <w:proofErr w:type="gramStart"/>
            <w:r w:rsidRPr="00797B48"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97B48">
              <w:rPr>
                <w:sz w:val="22"/>
                <w:szCs w:val="22"/>
              </w:rPr>
              <w:t>просветительские занятия</w:t>
            </w:r>
          </w:p>
        </w:tc>
        <w:tc>
          <w:tcPr>
            <w:tcW w:w="1785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Кабанова М.В.</w:t>
            </w:r>
          </w:p>
        </w:tc>
      </w:tr>
      <w:tr w:rsidR="00772128" w:rsidRPr="001A24DA" w:rsidTr="00772128">
        <w:trPr>
          <w:trHeight w:val="384"/>
        </w:trPr>
        <w:tc>
          <w:tcPr>
            <w:tcW w:w="5211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Занятия по формированию функциональной грамотности </w:t>
            </w:r>
            <w:proofErr w:type="gramStart"/>
            <w:r w:rsidRPr="00797B48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«Функциональная грамотность»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факультатив</w:t>
            </w:r>
          </w:p>
        </w:tc>
        <w:tc>
          <w:tcPr>
            <w:tcW w:w="1785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</w:tc>
      </w:tr>
      <w:tr w:rsidR="00772128" w:rsidRPr="001A24DA" w:rsidTr="00772128">
        <w:trPr>
          <w:trHeight w:val="60"/>
        </w:trPr>
        <w:tc>
          <w:tcPr>
            <w:tcW w:w="5211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</w:tc>
        <w:tc>
          <w:tcPr>
            <w:tcW w:w="1134" w:type="dxa"/>
            <w:vAlign w:val="center"/>
          </w:tcPr>
          <w:p w:rsidR="00772128" w:rsidRPr="00797B48" w:rsidRDefault="00772128" w:rsidP="00772128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772128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«Профориентация»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профориентационные беседы, игры, пробы, решение тематических задач, поиск и работа с информацией</w:t>
            </w:r>
          </w:p>
        </w:tc>
        <w:tc>
          <w:tcPr>
            <w:tcW w:w="1785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Кабанова М.В.</w:t>
            </w:r>
          </w:p>
        </w:tc>
      </w:tr>
      <w:tr w:rsidR="00772128" w:rsidRPr="001A24DA" w:rsidTr="00772128">
        <w:trPr>
          <w:trHeight w:val="359"/>
        </w:trPr>
        <w:tc>
          <w:tcPr>
            <w:tcW w:w="5211" w:type="dxa"/>
            <w:vMerge w:val="restart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Занятия, связанные с реализацией особых интеллектуальных и </w:t>
            </w:r>
            <w:proofErr w:type="spellStart"/>
            <w:r w:rsidRPr="00797B48">
              <w:rPr>
                <w:sz w:val="22"/>
                <w:szCs w:val="22"/>
              </w:rPr>
              <w:t>социокультурных</w:t>
            </w:r>
            <w:proofErr w:type="spellEnd"/>
            <w:r w:rsidRPr="00797B48">
              <w:rPr>
                <w:sz w:val="22"/>
                <w:szCs w:val="22"/>
              </w:rPr>
              <w:t xml:space="preserve"> потребностей обучающихся </w:t>
            </w:r>
          </w:p>
        </w:tc>
        <w:tc>
          <w:tcPr>
            <w:tcW w:w="1134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От библиотечного порога – к знаниям дорога</w:t>
            </w:r>
            <w:r w:rsidRPr="00797B4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занятия по развитию навыков чтения и умения работать с текстом</w:t>
            </w:r>
          </w:p>
        </w:tc>
        <w:tc>
          <w:tcPr>
            <w:tcW w:w="1785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Минаева Л.Н.</w:t>
            </w:r>
          </w:p>
        </w:tc>
      </w:tr>
      <w:tr w:rsidR="00772128" w:rsidRPr="001A24DA" w:rsidTr="00772128">
        <w:trPr>
          <w:trHeight w:val="605"/>
        </w:trPr>
        <w:tc>
          <w:tcPr>
            <w:tcW w:w="5211" w:type="dxa"/>
            <w:vMerge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Основы компьютерной грамотности</w:t>
            </w:r>
            <w:r w:rsidRPr="00797B4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углубленное изучение математики</w:t>
            </w:r>
          </w:p>
        </w:tc>
        <w:tc>
          <w:tcPr>
            <w:tcW w:w="1785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И.С.</w:t>
            </w:r>
          </w:p>
        </w:tc>
      </w:tr>
      <w:tr w:rsidR="00772128" w:rsidRPr="001A24DA" w:rsidTr="00772128">
        <w:trPr>
          <w:trHeight w:val="458"/>
        </w:trPr>
        <w:tc>
          <w:tcPr>
            <w:tcW w:w="5211" w:type="dxa"/>
            <w:vMerge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Удивительное рядом</w:t>
            </w:r>
            <w:r w:rsidRPr="00797B4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исследовательские проекты</w:t>
            </w:r>
          </w:p>
        </w:tc>
        <w:tc>
          <w:tcPr>
            <w:tcW w:w="1785" w:type="dxa"/>
          </w:tcPr>
          <w:p w:rsidR="0077212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А.В.</w:t>
            </w:r>
          </w:p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Пасхина О.А.</w:t>
            </w:r>
          </w:p>
        </w:tc>
      </w:tr>
      <w:tr w:rsidR="00772128" w:rsidRPr="001A24DA" w:rsidTr="00772128">
        <w:trPr>
          <w:trHeight w:val="556"/>
        </w:trPr>
        <w:tc>
          <w:tcPr>
            <w:tcW w:w="5211" w:type="dxa"/>
            <w:vMerge w:val="restart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 xml:space="preserve">Занятия, направленные на удовлетворение интересов и </w:t>
            </w:r>
            <w:proofErr w:type="gramStart"/>
            <w:r w:rsidRPr="00797B48">
              <w:rPr>
                <w:sz w:val="22"/>
                <w:szCs w:val="22"/>
              </w:rPr>
              <w:t>потребностей</w:t>
            </w:r>
            <w:proofErr w:type="gramEnd"/>
            <w:r w:rsidRPr="00797B48">
              <w:rPr>
                <w:sz w:val="22"/>
                <w:szCs w:val="22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</w:tc>
        <w:tc>
          <w:tcPr>
            <w:tcW w:w="1134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Творческая студия</w:t>
            </w:r>
            <w:r w:rsidRPr="00797B4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творческая студия</w:t>
            </w:r>
          </w:p>
        </w:tc>
        <w:tc>
          <w:tcPr>
            <w:tcW w:w="1785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</w:tc>
      </w:tr>
      <w:tr w:rsidR="00772128" w:rsidRPr="001A24DA" w:rsidTr="00772128">
        <w:trPr>
          <w:trHeight w:val="59"/>
        </w:trPr>
        <w:tc>
          <w:tcPr>
            <w:tcW w:w="5211" w:type="dxa"/>
            <w:vMerge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Мой край</w:t>
            </w:r>
            <w:r w:rsidRPr="00797B4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краеведческие проекты, экскурсии, работа в музее школы</w:t>
            </w:r>
          </w:p>
        </w:tc>
        <w:tc>
          <w:tcPr>
            <w:tcW w:w="1785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А.В.</w:t>
            </w:r>
          </w:p>
        </w:tc>
      </w:tr>
      <w:tr w:rsidR="00772128" w:rsidRPr="001A24DA" w:rsidTr="00772128">
        <w:trPr>
          <w:trHeight w:val="801"/>
        </w:trPr>
        <w:tc>
          <w:tcPr>
            <w:tcW w:w="5211" w:type="dxa"/>
            <w:vMerge w:val="restart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proofErr w:type="gramStart"/>
            <w:r w:rsidRPr="00797B48">
              <w:rPr>
                <w:sz w:val="22"/>
                <w:szCs w:val="22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      </w:r>
            <w:proofErr w:type="gramEnd"/>
          </w:p>
        </w:tc>
        <w:tc>
          <w:tcPr>
            <w:tcW w:w="1134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Юный пешеход</w:t>
            </w:r>
            <w:r w:rsidRPr="00797B4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</w:t>
            </w:r>
            <w:proofErr w:type="spellStart"/>
            <w:r>
              <w:rPr>
                <w:sz w:val="22"/>
                <w:szCs w:val="22"/>
              </w:rPr>
              <w:t>практикоориентированные</w:t>
            </w:r>
            <w:proofErr w:type="spellEnd"/>
            <w:r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785" w:type="dxa"/>
          </w:tcPr>
          <w:p w:rsidR="0077212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Салева</w:t>
            </w:r>
            <w:proofErr w:type="spellEnd"/>
            <w:r>
              <w:rPr>
                <w:sz w:val="22"/>
                <w:szCs w:val="22"/>
              </w:rPr>
              <w:t xml:space="preserve"> Н.Ю.</w:t>
            </w:r>
          </w:p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Пасхин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772128" w:rsidRPr="001A24DA" w:rsidTr="00772128">
        <w:trPr>
          <w:trHeight w:val="109"/>
        </w:trPr>
        <w:tc>
          <w:tcPr>
            <w:tcW w:w="5211" w:type="dxa"/>
            <w:vMerge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rStyle w:val="Bold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  <w:vAlign w:val="center"/>
          </w:tcPr>
          <w:p w:rsidR="00772128" w:rsidRPr="00797B48" w:rsidRDefault="00772128" w:rsidP="00403E8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«РДШ»</w:t>
            </w:r>
          </w:p>
        </w:tc>
        <w:tc>
          <w:tcPr>
            <w:tcW w:w="3969" w:type="dxa"/>
          </w:tcPr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 w:rsidRPr="00797B48">
              <w:rPr>
                <w:sz w:val="22"/>
                <w:szCs w:val="22"/>
              </w:rPr>
              <w:t>педагогическое сопровождение деятельности перв</w:t>
            </w:r>
            <w:r>
              <w:rPr>
                <w:sz w:val="22"/>
                <w:szCs w:val="22"/>
              </w:rPr>
              <w:t>и</w:t>
            </w:r>
            <w:r w:rsidRPr="00797B48">
              <w:rPr>
                <w:sz w:val="22"/>
                <w:szCs w:val="22"/>
              </w:rPr>
              <w:t>чного отделения Российского движения школьников</w:t>
            </w:r>
          </w:p>
        </w:tc>
        <w:tc>
          <w:tcPr>
            <w:tcW w:w="1785" w:type="dxa"/>
          </w:tcPr>
          <w:p w:rsidR="0077212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Савлева Н.Ю.</w:t>
            </w:r>
          </w:p>
          <w:p w:rsidR="00772128" w:rsidRPr="00797B48" w:rsidRDefault="00772128" w:rsidP="00403E80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Пасхин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</w:tbl>
    <w:p w:rsidR="00F805FB" w:rsidRDefault="00F805FB" w:rsidP="00772128"/>
    <w:sectPr w:rsidR="00F805FB" w:rsidSect="00772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201" w:usb1="5807204A" w:usb2="0000003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72128"/>
    <w:rsid w:val="005E4310"/>
    <w:rsid w:val="00772128"/>
    <w:rsid w:val="00A9203F"/>
    <w:rsid w:val="00F25654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12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markedcontent">
    <w:name w:val="markedcontent"/>
    <w:basedOn w:val="a0"/>
    <w:rsid w:val="00772128"/>
  </w:style>
  <w:style w:type="character" w:customStyle="1" w:styleId="Bold">
    <w:name w:val="Bold"/>
    <w:uiPriority w:val="99"/>
    <w:rsid w:val="00772128"/>
    <w:rPr>
      <w:rFonts w:ascii="Times New Roman" w:hAnsi="Times New Roman"/>
      <w:b/>
      <w:bCs/>
    </w:rPr>
  </w:style>
  <w:style w:type="table" w:styleId="a3">
    <w:name w:val="Table Grid"/>
    <w:basedOn w:val="a1"/>
    <w:uiPriority w:val="39"/>
    <w:rsid w:val="00772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1754</Words>
  <Characters>9999</Characters>
  <Application>Microsoft Office Word</Application>
  <DocSecurity>0</DocSecurity>
  <Lines>83</Lines>
  <Paragraphs>23</Paragraphs>
  <ScaleCrop>false</ScaleCrop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2022-08-25T12:16:00Z</dcterms:created>
  <dcterms:modified xsi:type="dcterms:W3CDTF">2022-08-25T12:26:00Z</dcterms:modified>
</cp:coreProperties>
</file>